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0BDC" w14:textId="77777777" w:rsidR="00171898" w:rsidRDefault="00171898" w:rsidP="00171898">
      <w:pPr>
        <w:spacing w:line="560" w:lineRule="exact"/>
        <w:rPr>
          <w:rFonts w:ascii="仿宋_GB2312" w:eastAsia="仿宋_GB2312" w:hAnsi="仿宋_GB2312" w:cs="仿宋_GB2312" w:hint="eastAsia"/>
          <w:b/>
          <w:sz w:val="28"/>
          <w:szCs w:val="28"/>
        </w:rPr>
      </w:pPr>
      <w:r>
        <w:rPr>
          <w:rFonts w:ascii="仿宋_GB2312" w:eastAsia="仿宋_GB2312" w:hAnsi="仿宋_GB2312" w:cs="仿宋_GB2312" w:hint="eastAsia"/>
          <w:b/>
          <w:sz w:val="28"/>
          <w:szCs w:val="28"/>
        </w:rPr>
        <w:t>附件：评分标准</w:t>
      </w:r>
    </w:p>
    <w:p w14:paraId="516502AA" w14:textId="77777777" w:rsidR="00171898" w:rsidRDefault="00171898" w:rsidP="00171898">
      <w:pPr>
        <w:spacing w:line="560" w:lineRule="exact"/>
        <w:rPr>
          <w:rFonts w:ascii="仿宋_GB2312" w:eastAsia="仿宋_GB2312" w:hAnsi="仿宋_GB2312" w:cs="仿宋_GB2312" w:hint="eastAsia"/>
          <w:b/>
          <w:sz w:val="28"/>
          <w:szCs w:val="2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663"/>
        <w:gridCol w:w="427"/>
        <w:gridCol w:w="6766"/>
      </w:tblGrid>
      <w:tr w:rsidR="00171898" w14:paraId="09355498" w14:textId="77777777" w:rsidTr="00171898">
        <w:trPr>
          <w:trHeight w:val="1527"/>
        </w:trPr>
        <w:tc>
          <w:tcPr>
            <w:tcW w:w="258" w:type="pct"/>
            <w:vAlign w:val="center"/>
          </w:tcPr>
          <w:p w14:paraId="2B240475" w14:textId="77777777" w:rsidR="00171898" w:rsidRDefault="00171898" w:rsidP="00DF31B7">
            <w:pPr>
              <w:spacing w:line="560" w:lineRule="exact"/>
              <w:jc w:val="center"/>
              <w:rPr>
                <w:rFonts w:ascii="仿宋_GB2312" w:eastAsia="仿宋_GB2312" w:hAnsi="仿宋_GB2312" w:cs="仿宋_GB2312" w:hint="eastAsia"/>
                <w:b/>
                <w:bCs/>
                <w:szCs w:val="21"/>
              </w:rPr>
            </w:pPr>
            <w:r>
              <w:rPr>
                <w:rFonts w:ascii="仿宋_GB2312" w:eastAsia="仿宋_GB2312" w:hAnsi="仿宋_GB2312" w:cs="仿宋_GB2312" w:hint="eastAsia"/>
                <w:b/>
                <w:bCs/>
                <w:szCs w:val="21"/>
              </w:rPr>
              <w:t>序号</w:t>
            </w:r>
          </w:p>
        </w:tc>
        <w:tc>
          <w:tcPr>
            <w:tcW w:w="424" w:type="pct"/>
            <w:vAlign w:val="center"/>
          </w:tcPr>
          <w:p w14:paraId="1FCBC809" w14:textId="77777777" w:rsidR="00171898" w:rsidRDefault="00171898" w:rsidP="00DF31B7">
            <w:pPr>
              <w:spacing w:line="560" w:lineRule="exact"/>
              <w:jc w:val="center"/>
              <w:rPr>
                <w:rFonts w:ascii="仿宋_GB2312" w:eastAsia="仿宋_GB2312" w:hAnsi="仿宋_GB2312" w:cs="仿宋_GB2312" w:hint="eastAsia"/>
                <w:b/>
                <w:bCs/>
                <w:szCs w:val="21"/>
              </w:rPr>
            </w:pPr>
            <w:r>
              <w:rPr>
                <w:rFonts w:ascii="仿宋_GB2312" w:eastAsia="仿宋_GB2312" w:hAnsi="仿宋_GB2312" w:cs="仿宋_GB2312" w:hint="eastAsia"/>
                <w:b/>
                <w:bCs/>
                <w:szCs w:val="21"/>
              </w:rPr>
              <w:t>评标项目</w:t>
            </w:r>
          </w:p>
        </w:tc>
        <w:tc>
          <w:tcPr>
            <w:tcW w:w="210" w:type="pct"/>
            <w:vAlign w:val="center"/>
          </w:tcPr>
          <w:p w14:paraId="67C5B857" w14:textId="77777777" w:rsidR="00171898" w:rsidRDefault="00171898" w:rsidP="00DF31B7">
            <w:pPr>
              <w:spacing w:line="560" w:lineRule="exact"/>
              <w:jc w:val="center"/>
              <w:rPr>
                <w:rFonts w:ascii="仿宋_GB2312" w:eastAsia="仿宋_GB2312" w:hAnsi="仿宋_GB2312" w:cs="仿宋_GB2312" w:hint="eastAsia"/>
                <w:b/>
                <w:bCs/>
                <w:szCs w:val="21"/>
              </w:rPr>
            </w:pPr>
            <w:r>
              <w:rPr>
                <w:rFonts w:ascii="仿宋_GB2312" w:eastAsia="仿宋_GB2312" w:hAnsi="仿宋_GB2312" w:cs="仿宋_GB2312" w:hint="eastAsia"/>
                <w:b/>
                <w:bCs/>
                <w:szCs w:val="21"/>
              </w:rPr>
              <w:t>分值</w:t>
            </w:r>
          </w:p>
        </w:tc>
        <w:tc>
          <w:tcPr>
            <w:tcW w:w="4108" w:type="pct"/>
            <w:vAlign w:val="center"/>
          </w:tcPr>
          <w:p w14:paraId="273DCEDA" w14:textId="77777777" w:rsidR="00171898" w:rsidRDefault="00171898" w:rsidP="00DF31B7">
            <w:pPr>
              <w:spacing w:line="560" w:lineRule="exact"/>
              <w:jc w:val="center"/>
              <w:rPr>
                <w:rFonts w:ascii="仿宋_GB2312" w:eastAsia="仿宋_GB2312" w:hAnsi="仿宋_GB2312" w:cs="仿宋_GB2312" w:hint="eastAsia"/>
                <w:b/>
                <w:bCs/>
                <w:szCs w:val="21"/>
              </w:rPr>
            </w:pPr>
            <w:r>
              <w:rPr>
                <w:rFonts w:ascii="仿宋_GB2312" w:eastAsia="仿宋_GB2312" w:hAnsi="仿宋_GB2312" w:cs="仿宋_GB2312" w:hint="eastAsia"/>
                <w:b/>
                <w:bCs/>
                <w:szCs w:val="21"/>
              </w:rPr>
              <w:t>评 标 办 法</w:t>
            </w:r>
          </w:p>
        </w:tc>
      </w:tr>
      <w:tr w:rsidR="00171898" w14:paraId="014CDFFB" w14:textId="77777777" w:rsidTr="00171898">
        <w:trPr>
          <w:trHeight w:val="3884"/>
        </w:trPr>
        <w:tc>
          <w:tcPr>
            <w:tcW w:w="258" w:type="pct"/>
            <w:vAlign w:val="center"/>
          </w:tcPr>
          <w:p w14:paraId="5DFB0510" w14:textId="77777777" w:rsidR="00171898" w:rsidRDefault="00171898" w:rsidP="00DF31B7">
            <w:pPr>
              <w:spacing w:line="560" w:lineRule="exact"/>
              <w:rPr>
                <w:rFonts w:ascii="仿宋_GB2312" w:eastAsia="仿宋_GB2312" w:hAnsi="仿宋_GB2312" w:cs="仿宋_GB2312" w:hint="eastAsia"/>
                <w:szCs w:val="21"/>
              </w:rPr>
            </w:pPr>
            <w:proofErr w:type="gramStart"/>
            <w:r>
              <w:rPr>
                <w:rFonts w:ascii="仿宋_GB2312" w:eastAsia="仿宋_GB2312" w:hAnsi="仿宋_GB2312" w:cs="仿宋_GB2312" w:hint="eastAsia"/>
                <w:szCs w:val="21"/>
              </w:rPr>
              <w:t>一</w:t>
            </w:r>
            <w:proofErr w:type="gramEnd"/>
          </w:p>
        </w:tc>
        <w:tc>
          <w:tcPr>
            <w:tcW w:w="424" w:type="pct"/>
            <w:vAlign w:val="center"/>
          </w:tcPr>
          <w:p w14:paraId="01FE1959"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报 价</w:t>
            </w:r>
          </w:p>
        </w:tc>
        <w:tc>
          <w:tcPr>
            <w:tcW w:w="210" w:type="pct"/>
            <w:vAlign w:val="center"/>
          </w:tcPr>
          <w:p w14:paraId="0C1F1957"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10</w:t>
            </w:r>
          </w:p>
        </w:tc>
        <w:tc>
          <w:tcPr>
            <w:tcW w:w="4108" w:type="pct"/>
            <w:vAlign w:val="center"/>
          </w:tcPr>
          <w:p w14:paraId="201BE651"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根据《财政部关于印发&lt;政务信息系统政府采购管理暂行办法&gt;的通知》‌（财库〔2017〕210号）‌文件，综合评分法中的价格</w:t>
            </w:r>
            <w:proofErr w:type="gramStart"/>
            <w:r>
              <w:rPr>
                <w:rFonts w:ascii="仿宋_GB2312" w:eastAsia="仿宋_GB2312" w:hAnsi="仿宋_GB2312" w:cs="仿宋_GB2312" w:hint="eastAsia"/>
                <w:szCs w:val="21"/>
              </w:rPr>
              <w:t>分统一</w:t>
            </w:r>
            <w:proofErr w:type="gramEnd"/>
            <w:r>
              <w:rPr>
                <w:rFonts w:ascii="仿宋_GB2312" w:eastAsia="仿宋_GB2312" w:hAnsi="仿宋_GB2312" w:cs="仿宋_GB2312" w:hint="eastAsia"/>
                <w:szCs w:val="21"/>
              </w:rPr>
              <w:t>采用低价优先法计算，即完全满足招标文件要求且投标价格最低的投标报价为评标基准价，其价格分为满分。其他投标人的价格</w:t>
            </w:r>
            <w:proofErr w:type="gramStart"/>
            <w:r>
              <w:rPr>
                <w:rFonts w:ascii="仿宋_GB2312" w:eastAsia="仿宋_GB2312" w:hAnsi="仿宋_GB2312" w:cs="仿宋_GB2312" w:hint="eastAsia"/>
                <w:szCs w:val="21"/>
              </w:rPr>
              <w:t>分统一</w:t>
            </w:r>
            <w:proofErr w:type="gramEnd"/>
            <w:r>
              <w:rPr>
                <w:rFonts w:ascii="仿宋_GB2312" w:eastAsia="仿宋_GB2312" w:hAnsi="仿宋_GB2312" w:cs="仿宋_GB2312" w:hint="eastAsia"/>
                <w:szCs w:val="21"/>
              </w:rPr>
              <w:t>按照下列公式计算：</w:t>
            </w:r>
          </w:p>
          <w:p w14:paraId="695F7560"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投标报价得分=(评标基准价／投标报价)×0.10×100</w:t>
            </w:r>
          </w:p>
          <w:p w14:paraId="0E26CB2B" w14:textId="77777777" w:rsidR="00171898" w:rsidRDefault="00171898" w:rsidP="00DF31B7">
            <w:pPr>
              <w:spacing w:line="560" w:lineRule="exact"/>
              <w:rPr>
                <w:rFonts w:ascii="仿宋_GB2312" w:eastAsia="仿宋_GB2312" w:hAnsi="仿宋_GB2312" w:cs="仿宋_GB2312" w:hint="eastAsia"/>
                <w:szCs w:val="21"/>
              </w:rPr>
            </w:pPr>
            <w:bookmarkStart w:id="0" w:name="auto_fouce_14"/>
            <w:r>
              <w:rPr>
                <w:rFonts w:ascii="仿宋_GB2312" w:eastAsia="仿宋_GB2312" w:hAnsi="仿宋_GB2312" w:cs="仿宋_GB2312" w:hint="eastAsia"/>
                <w:szCs w:val="21"/>
              </w:rPr>
              <w:t>注：根据《关于印发〈政府采购促进中小企业发展管理办法〉的通知》（财库〔2020〕46号）的规定，对小型和微型企业产品的价格给予10%的价格扣除，用扣除后的价格参与评审，投标人须提供本单位《中小企业声明函》。</w:t>
            </w:r>
            <w:bookmarkEnd w:id="0"/>
          </w:p>
        </w:tc>
      </w:tr>
      <w:tr w:rsidR="00171898" w14:paraId="66170879" w14:textId="77777777" w:rsidTr="00171898">
        <w:trPr>
          <w:trHeight w:val="563"/>
        </w:trPr>
        <w:tc>
          <w:tcPr>
            <w:tcW w:w="258" w:type="pct"/>
            <w:vAlign w:val="center"/>
          </w:tcPr>
          <w:p w14:paraId="7D394BDD"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二</w:t>
            </w:r>
          </w:p>
        </w:tc>
        <w:tc>
          <w:tcPr>
            <w:tcW w:w="4742" w:type="pct"/>
            <w:gridSpan w:val="3"/>
            <w:vAlign w:val="center"/>
          </w:tcPr>
          <w:p w14:paraId="1A205985"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技术部分（55分）</w:t>
            </w:r>
          </w:p>
        </w:tc>
      </w:tr>
      <w:tr w:rsidR="00171898" w14:paraId="451B30DC" w14:textId="77777777" w:rsidTr="00171898">
        <w:trPr>
          <w:trHeight w:val="2420"/>
        </w:trPr>
        <w:tc>
          <w:tcPr>
            <w:tcW w:w="258" w:type="pct"/>
            <w:vAlign w:val="center"/>
          </w:tcPr>
          <w:p w14:paraId="1CACFCE6"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424" w:type="pct"/>
            <w:vAlign w:val="center"/>
          </w:tcPr>
          <w:p w14:paraId="336ECF75"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实施方案</w:t>
            </w:r>
          </w:p>
        </w:tc>
        <w:tc>
          <w:tcPr>
            <w:tcW w:w="210" w:type="pct"/>
            <w:vAlign w:val="center"/>
          </w:tcPr>
          <w:p w14:paraId="3D19956B"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10</w:t>
            </w:r>
          </w:p>
        </w:tc>
        <w:tc>
          <w:tcPr>
            <w:tcW w:w="4108" w:type="pct"/>
            <w:vAlign w:val="center"/>
          </w:tcPr>
          <w:p w14:paraId="19860284"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根据投标人提供的实施方案（包括但不限于：1.项目需求分析2.测评方法3.测评依据4.测评工作内容5.测评质量保证措施等）进行综合评审：以上方案提供完整得满分10分，每有一项</w:t>
            </w:r>
            <w:proofErr w:type="gramStart"/>
            <w:r>
              <w:rPr>
                <w:rFonts w:ascii="仿宋_GB2312" w:eastAsia="仿宋_GB2312" w:hAnsi="仿宋_GB2312" w:cs="仿宋_GB2312" w:hint="eastAsia"/>
                <w:szCs w:val="21"/>
              </w:rPr>
              <w:t>漏项扣2分</w:t>
            </w:r>
            <w:proofErr w:type="gramEnd"/>
            <w:r>
              <w:rPr>
                <w:rFonts w:ascii="仿宋_GB2312" w:eastAsia="仿宋_GB2312" w:hAnsi="仿宋_GB2312" w:cs="仿宋_GB2312" w:hint="eastAsia"/>
                <w:szCs w:val="21"/>
              </w:rPr>
              <w:t xml:space="preserve">，每有一项不适用项目实际情况的情形，存在凭空编造、逻辑漏洞、科学原理错误以及不可能实现的夸大情形等情况扣1分，最多扣10分。 </w:t>
            </w:r>
          </w:p>
        </w:tc>
      </w:tr>
      <w:tr w:rsidR="00171898" w14:paraId="60389D52" w14:textId="77777777" w:rsidTr="00171898">
        <w:trPr>
          <w:trHeight w:val="523"/>
        </w:trPr>
        <w:tc>
          <w:tcPr>
            <w:tcW w:w="258" w:type="pct"/>
            <w:vAlign w:val="center"/>
          </w:tcPr>
          <w:p w14:paraId="3F2E3686"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2</w:t>
            </w:r>
          </w:p>
        </w:tc>
        <w:tc>
          <w:tcPr>
            <w:tcW w:w="424" w:type="pct"/>
            <w:vAlign w:val="center"/>
          </w:tcPr>
          <w:p w14:paraId="6AEE7AE9" w14:textId="77777777" w:rsidR="00171898" w:rsidRDefault="00171898" w:rsidP="00DF31B7">
            <w:pPr>
              <w:spacing w:line="560" w:lineRule="exact"/>
              <w:rPr>
                <w:rFonts w:ascii="仿宋_GB2312" w:eastAsia="仿宋_GB2312" w:hAnsi="仿宋_GB2312" w:cs="仿宋_GB2312" w:hint="eastAsia"/>
                <w:szCs w:val="21"/>
              </w:rPr>
            </w:pPr>
          </w:p>
          <w:p w14:paraId="59EE1A61"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测评</w:t>
            </w:r>
            <w:r>
              <w:rPr>
                <w:rFonts w:ascii="仿宋_GB2312" w:eastAsia="仿宋_GB2312" w:hAnsi="仿宋_GB2312" w:cs="仿宋_GB2312" w:hint="eastAsia"/>
                <w:szCs w:val="21"/>
              </w:rPr>
              <w:lastRenderedPageBreak/>
              <w:t>技术方案</w:t>
            </w:r>
          </w:p>
        </w:tc>
        <w:tc>
          <w:tcPr>
            <w:tcW w:w="210" w:type="pct"/>
            <w:vAlign w:val="center"/>
          </w:tcPr>
          <w:p w14:paraId="1E76DE12" w14:textId="77777777" w:rsidR="00171898" w:rsidRDefault="00171898" w:rsidP="00DF31B7">
            <w:pPr>
              <w:spacing w:line="560" w:lineRule="exact"/>
              <w:rPr>
                <w:rFonts w:ascii="仿宋_GB2312" w:eastAsia="仿宋_GB2312" w:hAnsi="仿宋_GB2312" w:cs="仿宋_GB2312" w:hint="eastAsia"/>
                <w:szCs w:val="21"/>
              </w:rPr>
            </w:pPr>
          </w:p>
          <w:p w14:paraId="5132226B"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10</w:t>
            </w:r>
          </w:p>
        </w:tc>
        <w:tc>
          <w:tcPr>
            <w:tcW w:w="4108" w:type="pct"/>
            <w:vAlign w:val="center"/>
          </w:tcPr>
          <w:p w14:paraId="0B5F4076"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根据投标人提供的测评技术方案（包括但不限于：1.通用测评2.物理和环境安全测评3.网络和通信安全测评4.设备和计算安全测评5.应用和数据安全测评6.管理制度7.人员管理8.建设运行9.应急处置10.密钥</w:t>
            </w:r>
            <w:r>
              <w:rPr>
                <w:rFonts w:ascii="仿宋_GB2312" w:eastAsia="仿宋_GB2312" w:hAnsi="仿宋_GB2312" w:cs="仿宋_GB2312" w:hint="eastAsia"/>
                <w:szCs w:val="21"/>
              </w:rPr>
              <w:lastRenderedPageBreak/>
              <w:t>管理测评等）进行综合评审：以上方案提供完整得满分10分，每有一项</w:t>
            </w:r>
            <w:proofErr w:type="gramStart"/>
            <w:r>
              <w:rPr>
                <w:rFonts w:ascii="仿宋_GB2312" w:eastAsia="仿宋_GB2312" w:hAnsi="仿宋_GB2312" w:cs="仿宋_GB2312" w:hint="eastAsia"/>
                <w:szCs w:val="21"/>
              </w:rPr>
              <w:t>漏项扣1分</w:t>
            </w:r>
            <w:proofErr w:type="gramEnd"/>
            <w:r>
              <w:rPr>
                <w:rFonts w:ascii="仿宋_GB2312" w:eastAsia="仿宋_GB2312" w:hAnsi="仿宋_GB2312" w:cs="仿宋_GB2312" w:hint="eastAsia"/>
                <w:szCs w:val="21"/>
              </w:rPr>
              <w:t>，每有一项不适用项目实际情况的情形，存在凭空编造、逻辑漏洞、科学原理错误以及不可能实现的夸大情形等情况扣1分，最多扣10分。</w:t>
            </w:r>
          </w:p>
        </w:tc>
      </w:tr>
      <w:tr w:rsidR="00171898" w14:paraId="34E1264E" w14:textId="77777777" w:rsidTr="00171898">
        <w:trPr>
          <w:trHeight w:val="682"/>
        </w:trPr>
        <w:tc>
          <w:tcPr>
            <w:tcW w:w="258" w:type="pct"/>
            <w:vAlign w:val="center"/>
          </w:tcPr>
          <w:p w14:paraId="76F8444D"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3</w:t>
            </w:r>
          </w:p>
        </w:tc>
        <w:tc>
          <w:tcPr>
            <w:tcW w:w="424" w:type="pct"/>
            <w:vAlign w:val="center"/>
          </w:tcPr>
          <w:p w14:paraId="2D61454B"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技术测评团队</w:t>
            </w:r>
          </w:p>
        </w:tc>
        <w:tc>
          <w:tcPr>
            <w:tcW w:w="210" w:type="pct"/>
            <w:vAlign w:val="center"/>
          </w:tcPr>
          <w:p w14:paraId="07AC29E3"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35</w:t>
            </w:r>
          </w:p>
        </w:tc>
        <w:tc>
          <w:tcPr>
            <w:tcW w:w="4108" w:type="pct"/>
            <w:vAlign w:val="center"/>
          </w:tcPr>
          <w:p w14:paraId="72CFA28F"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项目负责人（1人）具有：（1）国家密码管理局颁发的商用密码应用安全性评估从业人员证书；（2）中华人民共和国人力资源和社会保障部与中华人民共和国工业和信息化部颁发的信息安全工程师证书；（3）中华人民共和国人力资源和社会保障部与中华人民共和国工业和信息化部颁发的软件评测师证书；（4）中华人民共和国人力资源和社会保障部与中华人民共和国工业和信息化部颁发的网络工程师证书；（5）中华人民共和国人力资源和社会保障部与中华人民共和国工业和信息化部颁发的互联网技术工程师证书；每有一个证书得3分,最多得15分。</w:t>
            </w:r>
          </w:p>
          <w:p w14:paraId="229C3186"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2、技术负责人（1人）具有：（1）国家密码管理局颁发的商用密码应用安全性评估从业人员证书；（2）中华人民共和国人力资源和社会保障部与中华人民共和国工业和信息化部颁发的信息系统项目管理师证书；（3）中华人民共和国人力资源和社会保障部与中华人民共和国工业和信息化部颁发的系统集成项目管理工程师证书；（4）中华人民共和国人力资源和社会保障部与中华人民共和国工业和信息化部颁发的软件评测师证书；（5）工业和信息化部教育与考试中心颁发的信息安全管理工程师（高级）证书；每有一个得2分,最多得10分。</w:t>
            </w:r>
          </w:p>
          <w:p w14:paraId="5D24B8F8"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3、质量负责人（1人）具有：（1）国家密码管理局颁发的商用密码应用安全性评估从业人员证书；（2）工业和信息化部教育与考试中心颁发的信息安全管理工程师（高级）证书；（3）工业和信息化部教育与考试中心颁发的</w:t>
            </w:r>
            <w:proofErr w:type="gramStart"/>
            <w:r>
              <w:rPr>
                <w:rFonts w:ascii="仿宋_GB2312" w:eastAsia="仿宋_GB2312" w:hAnsi="仿宋_GB2312" w:cs="仿宋_GB2312" w:hint="eastAsia"/>
                <w:szCs w:val="21"/>
              </w:rPr>
              <w:t>信创规划</w:t>
            </w:r>
            <w:proofErr w:type="gramEnd"/>
            <w:r>
              <w:rPr>
                <w:rFonts w:ascii="仿宋_GB2312" w:eastAsia="仿宋_GB2312" w:hAnsi="仿宋_GB2312" w:cs="仿宋_GB2312" w:hint="eastAsia"/>
                <w:szCs w:val="21"/>
              </w:rPr>
              <w:t>管理师证书；（4）工业和信息化部教育与考试中心颁</w:t>
            </w:r>
            <w:r>
              <w:rPr>
                <w:rFonts w:ascii="仿宋_GB2312" w:eastAsia="仿宋_GB2312" w:hAnsi="仿宋_GB2312" w:cs="仿宋_GB2312" w:hint="eastAsia"/>
                <w:szCs w:val="21"/>
              </w:rPr>
              <w:lastRenderedPageBreak/>
              <w:t>发的数据安全工程师证书；每有一个证书得2分,最多得8分。</w:t>
            </w:r>
          </w:p>
          <w:p w14:paraId="64D8F362"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4、测试团队成员（2人）具有：国家密码管理局颁发的商用密码应用安全性评估从业人员证书，每提供1人得1分，最多得2分。</w:t>
            </w:r>
          </w:p>
          <w:p w14:paraId="71FDE904" w14:textId="77777777" w:rsidR="00171898" w:rsidRDefault="00171898" w:rsidP="00DF31B7">
            <w:pPr>
              <w:spacing w:line="560" w:lineRule="exact"/>
            </w:pPr>
            <w:r>
              <w:rPr>
                <w:rFonts w:ascii="仿宋_GB2312" w:eastAsia="仿宋_GB2312" w:hAnsi="仿宋_GB2312" w:cs="仿宋_GB2312" w:hint="eastAsia"/>
                <w:szCs w:val="21"/>
              </w:rPr>
              <w:t>注：上述人员须提供证书复印件及投标人为其缴纳近六个月中至少一个月的</w:t>
            </w:r>
            <w:proofErr w:type="gramStart"/>
            <w:r>
              <w:rPr>
                <w:rFonts w:ascii="仿宋_GB2312" w:eastAsia="仿宋_GB2312" w:hAnsi="仿宋_GB2312" w:cs="仿宋_GB2312" w:hint="eastAsia"/>
                <w:szCs w:val="21"/>
              </w:rPr>
              <w:t>社保证明</w:t>
            </w:r>
            <w:proofErr w:type="gramEnd"/>
            <w:r>
              <w:rPr>
                <w:rFonts w:ascii="仿宋_GB2312" w:eastAsia="仿宋_GB2312" w:hAnsi="仿宋_GB2312" w:cs="仿宋_GB2312" w:hint="eastAsia"/>
                <w:szCs w:val="21"/>
              </w:rPr>
              <w:t>，材料不全或未提供不得分。</w:t>
            </w:r>
          </w:p>
        </w:tc>
      </w:tr>
      <w:tr w:rsidR="00171898" w14:paraId="08A9B6C4" w14:textId="77777777" w:rsidTr="00171898">
        <w:trPr>
          <w:trHeight w:val="482"/>
        </w:trPr>
        <w:tc>
          <w:tcPr>
            <w:tcW w:w="258" w:type="pct"/>
            <w:vAlign w:val="center"/>
          </w:tcPr>
          <w:p w14:paraId="3C874EE2"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三</w:t>
            </w:r>
          </w:p>
        </w:tc>
        <w:tc>
          <w:tcPr>
            <w:tcW w:w="4742" w:type="pct"/>
            <w:gridSpan w:val="3"/>
            <w:vAlign w:val="center"/>
          </w:tcPr>
          <w:p w14:paraId="2DEA180F"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商务部分（35分）</w:t>
            </w:r>
          </w:p>
        </w:tc>
      </w:tr>
      <w:tr w:rsidR="00171898" w14:paraId="3167E711" w14:textId="77777777" w:rsidTr="00171898">
        <w:trPr>
          <w:trHeight w:val="90"/>
        </w:trPr>
        <w:tc>
          <w:tcPr>
            <w:tcW w:w="258" w:type="pct"/>
            <w:vAlign w:val="center"/>
          </w:tcPr>
          <w:p w14:paraId="71D54355"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424" w:type="pct"/>
            <w:vAlign w:val="center"/>
          </w:tcPr>
          <w:p w14:paraId="1D8514AF"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企业实力</w:t>
            </w:r>
          </w:p>
        </w:tc>
        <w:tc>
          <w:tcPr>
            <w:tcW w:w="210" w:type="pct"/>
            <w:vAlign w:val="center"/>
          </w:tcPr>
          <w:p w14:paraId="15773A58"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20</w:t>
            </w:r>
          </w:p>
        </w:tc>
        <w:tc>
          <w:tcPr>
            <w:tcW w:w="4108" w:type="pct"/>
            <w:vAlign w:val="center"/>
          </w:tcPr>
          <w:p w14:paraId="1A06015C"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1、具备 ISO9001 质量管理体系认证证书、ISO14001 环境管理体系认证证书、ISO45001 职业健康安全管理体系认证证书、ISO20000 IT 服务管理体系认证证书和 ISO27001 信息安全管理体系认证证书五项体系证书的,每有一项得 2分,最多得 10分。(证书须在有效期内提供全国认证认可查询平台http://cx.cnca.cn/截图)。</w:t>
            </w:r>
          </w:p>
          <w:p w14:paraId="736EF385"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2、具备中国网络安全审查认证和市场监管大数据中心颁发的信息系统网络安全审计服务资质的得3分、信息系统</w:t>
            </w:r>
            <w:proofErr w:type="gramStart"/>
            <w:r>
              <w:rPr>
                <w:rFonts w:ascii="仿宋_GB2312" w:eastAsia="仿宋_GB2312" w:hAnsi="仿宋_GB2312" w:cs="仿宋_GB2312" w:hint="eastAsia"/>
                <w:szCs w:val="21"/>
              </w:rPr>
              <w:t>安全运</w:t>
            </w:r>
            <w:proofErr w:type="gramEnd"/>
            <w:r>
              <w:rPr>
                <w:rFonts w:ascii="仿宋_GB2312" w:eastAsia="仿宋_GB2312" w:hAnsi="仿宋_GB2312" w:cs="仿宋_GB2312" w:hint="eastAsia"/>
                <w:szCs w:val="21"/>
              </w:rPr>
              <w:t>维服务资质的得3 分。(证书须在有效期,提供全国认证认可查询平台http://cx.cnca.cn/截图)。</w:t>
            </w:r>
          </w:p>
          <w:p w14:paraId="02813200"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3、具备中国工程咨询协会颁发的工程咨询单位资信证书，甲级得4分，乙级得2分，没有不得分；</w:t>
            </w:r>
          </w:p>
        </w:tc>
      </w:tr>
      <w:tr w:rsidR="00171898" w14:paraId="1646B0DA" w14:textId="77777777" w:rsidTr="00171898">
        <w:trPr>
          <w:trHeight w:val="90"/>
        </w:trPr>
        <w:tc>
          <w:tcPr>
            <w:tcW w:w="258" w:type="pct"/>
            <w:vAlign w:val="center"/>
          </w:tcPr>
          <w:p w14:paraId="7A185270"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2</w:t>
            </w:r>
          </w:p>
        </w:tc>
        <w:tc>
          <w:tcPr>
            <w:tcW w:w="424" w:type="pct"/>
            <w:vAlign w:val="center"/>
          </w:tcPr>
          <w:p w14:paraId="121F8CAD"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履约</w:t>
            </w:r>
          </w:p>
          <w:p w14:paraId="5F64713B"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经验</w:t>
            </w:r>
          </w:p>
        </w:tc>
        <w:tc>
          <w:tcPr>
            <w:tcW w:w="210" w:type="pct"/>
            <w:vAlign w:val="center"/>
          </w:tcPr>
          <w:p w14:paraId="2B58E0F7"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15</w:t>
            </w:r>
          </w:p>
        </w:tc>
        <w:tc>
          <w:tcPr>
            <w:tcW w:w="4108" w:type="pct"/>
            <w:vAlign w:val="center"/>
          </w:tcPr>
          <w:p w14:paraId="0BBB393A"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自2023年1月1日以来（以合同签订时间为准），投标人独立承担过类似项目业绩，每提供一个案例得3分，最多得15分。</w:t>
            </w:r>
          </w:p>
          <w:p w14:paraId="288F2337" w14:textId="77777777" w:rsidR="00171898" w:rsidRDefault="00171898" w:rsidP="00DF31B7">
            <w:pPr>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注：提供合同复印件或中标通知书，加盖投标人公章。</w:t>
            </w:r>
          </w:p>
        </w:tc>
      </w:tr>
    </w:tbl>
    <w:p w14:paraId="65A8CD8A" w14:textId="77777777" w:rsidR="009D0A55" w:rsidRPr="00171898" w:rsidRDefault="009D0A55">
      <w:pPr>
        <w:rPr>
          <w:rFonts w:hint="eastAsia"/>
        </w:rPr>
      </w:pPr>
    </w:p>
    <w:sectPr w:rsidR="009D0A55" w:rsidRPr="00171898" w:rsidSect="00171898">
      <w:footerReference w:type="default" r:id="rId4"/>
      <w:pgSz w:w="11906" w:h="16838"/>
      <w:pgMar w:top="1440" w:right="1800" w:bottom="1440" w:left="1800" w:header="851" w:footer="992" w:gutter="0"/>
      <w:pgNumType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1AD8" w14:textId="77777777" w:rsidR="00B45777" w:rsidRDefault="00B45777">
    <w:pPr>
      <w:pStyle w:val="a0"/>
      <w:spacing w:line="14" w:lineRule="auto"/>
      <w:ind w:left="0"/>
      <w:rPr>
        <w:rFonts w:hint="eastAsia"/>
        <w:sz w:val="12"/>
      </w:rPr>
    </w:pPr>
    <w:r>
      <w:rPr>
        <w:noProof/>
        <w:sz w:val="12"/>
      </w:rPr>
      <mc:AlternateContent>
        <mc:Choice Requires="wps">
          <w:drawing>
            <wp:anchor distT="0" distB="0" distL="114300" distR="114300" simplePos="0" relativeHeight="251659264" behindDoc="0" locked="0" layoutInCell="1" allowOverlap="1" wp14:anchorId="4A13C164" wp14:editId="72EEF75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C0498" w14:textId="77777777" w:rsidR="00B45777" w:rsidRDefault="00B45777">
                          <w:pPr>
                            <w:pStyle w:val="af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13C164"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EFC0498" w14:textId="77777777" w:rsidR="00B45777" w:rsidRDefault="00B45777">
                    <w:pPr>
                      <w:pStyle w:val="af0"/>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98"/>
    <w:rsid w:val="00171898"/>
    <w:rsid w:val="00481F8F"/>
    <w:rsid w:val="0064147D"/>
    <w:rsid w:val="009D0A55"/>
    <w:rsid w:val="00B45777"/>
    <w:rsid w:val="00ED5FAE"/>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F99F"/>
  <w15:chartTrackingRefBased/>
  <w15:docId w15:val="{C51E4C07-20D5-49FC-B464-5A8937AD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171898"/>
    <w:pPr>
      <w:widowControl w:val="0"/>
      <w:spacing w:after="160" w:line="278" w:lineRule="auto"/>
      <w:jc w:val="both"/>
    </w:pPr>
    <w:rPr>
      <w14:ligatures w14:val="none"/>
    </w:rPr>
  </w:style>
  <w:style w:type="paragraph" w:styleId="1">
    <w:name w:val="heading 1"/>
    <w:basedOn w:val="a"/>
    <w:next w:val="a"/>
    <w:link w:val="10"/>
    <w:uiPriority w:val="9"/>
    <w:qFormat/>
    <w:rsid w:val="00171898"/>
    <w:pPr>
      <w:keepNext/>
      <w:keepLines/>
      <w:spacing w:before="480" w:after="80" w:line="240" w:lineRule="auto"/>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71898"/>
    <w:pPr>
      <w:keepNext/>
      <w:keepLines/>
      <w:spacing w:before="160" w:after="80" w:line="240" w:lineRule="auto"/>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71898"/>
    <w:pPr>
      <w:keepNext/>
      <w:keepLines/>
      <w:spacing w:before="160" w:after="80" w:line="240" w:lineRule="auto"/>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71898"/>
    <w:pPr>
      <w:keepNext/>
      <w:keepLines/>
      <w:spacing w:before="80" w:after="40" w:line="240" w:lineRule="auto"/>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71898"/>
    <w:pPr>
      <w:keepNext/>
      <w:keepLines/>
      <w:spacing w:before="80" w:after="40" w:line="240" w:lineRule="auto"/>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171898"/>
    <w:pPr>
      <w:keepNext/>
      <w:keepLines/>
      <w:spacing w:before="40" w:after="0" w:line="240" w:lineRule="auto"/>
      <w:outlineLvl w:val="5"/>
    </w:pPr>
    <w:rPr>
      <w:rFonts w:cstheme="majorBidi"/>
      <w:b/>
      <w:bCs/>
      <w:color w:val="2F5496" w:themeColor="accent1" w:themeShade="BF"/>
      <w14:ligatures w14:val="standardContextual"/>
    </w:rPr>
  </w:style>
  <w:style w:type="paragraph" w:styleId="7">
    <w:name w:val="heading 7"/>
    <w:basedOn w:val="a"/>
    <w:next w:val="a"/>
    <w:link w:val="70"/>
    <w:uiPriority w:val="9"/>
    <w:semiHidden/>
    <w:unhideWhenUsed/>
    <w:qFormat/>
    <w:rsid w:val="00171898"/>
    <w:pPr>
      <w:keepNext/>
      <w:keepLines/>
      <w:spacing w:before="40" w:after="0" w:line="240" w:lineRule="auto"/>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171898"/>
    <w:pPr>
      <w:keepNext/>
      <w:keepLines/>
      <w:spacing w:after="0" w:line="240" w:lineRule="auto"/>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171898"/>
    <w:pPr>
      <w:keepNext/>
      <w:keepLines/>
      <w:spacing w:after="0" w:line="240" w:lineRule="auto"/>
      <w:outlineLvl w:val="8"/>
    </w:pPr>
    <w:rPr>
      <w:rFonts w:eastAsiaTheme="majorEastAsia" w:cstheme="majorBidi"/>
      <w:color w:val="595959" w:themeColor="text1" w:themeTint="A6"/>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171898"/>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171898"/>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171898"/>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171898"/>
    <w:rPr>
      <w:rFonts w:cstheme="majorBidi"/>
      <w:color w:val="2F5496" w:themeColor="accent1" w:themeShade="BF"/>
      <w:sz w:val="28"/>
      <w:szCs w:val="28"/>
    </w:rPr>
  </w:style>
  <w:style w:type="character" w:customStyle="1" w:styleId="50">
    <w:name w:val="标题 5 字符"/>
    <w:basedOn w:val="a1"/>
    <w:link w:val="5"/>
    <w:uiPriority w:val="9"/>
    <w:semiHidden/>
    <w:rsid w:val="00171898"/>
    <w:rPr>
      <w:rFonts w:cstheme="majorBidi"/>
      <w:color w:val="2F5496" w:themeColor="accent1" w:themeShade="BF"/>
      <w:sz w:val="24"/>
      <w:szCs w:val="24"/>
    </w:rPr>
  </w:style>
  <w:style w:type="character" w:customStyle="1" w:styleId="60">
    <w:name w:val="标题 6 字符"/>
    <w:basedOn w:val="a1"/>
    <w:link w:val="6"/>
    <w:uiPriority w:val="9"/>
    <w:semiHidden/>
    <w:rsid w:val="00171898"/>
    <w:rPr>
      <w:rFonts w:cstheme="majorBidi"/>
      <w:b/>
      <w:bCs/>
      <w:color w:val="2F5496" w:themeColor="accent1" w:themeShade="BF"/>
    </w:rPr>
  </w:style>
  <w:style w:type="character" w:customStyle="1" w:styleId="70">
    <w:name w:val="标题 7 字符"/>
    <w:basedOn w:val="a1"/>
    <w:link w:val="7"/>
    <w:uiPriority w:val="9"/>
    <w:semiHidden/>
    <w:rsid w:val="00171898"/>
    <w:rPr>
      <w:rFonts w:cstheme="majorBidi"/>
      <w:b/>
      <w:bCs/>
      <w:color w:val="595959" w:themeColor="text1" w:themeTint="A6"/>
    </w:rPr>
  </w:style>
  <w:style w:type="character" w:customStyle="1" w:styleId="80">
    <w:name w:val="标题 8 字符"/>
    <w:basedOn w:val="a1"/>
    <w:link w:val="8"/>
    <w:uiPriority w:val="9"/>
    <w:semiHidden/>
    <w:rsid w:val="00171898"/>
    <w:rPr>
      <w:rFonts w:cstheme="majorBidi"/>
      <w:color w:val="595959" w:themeColor="text1" w:themeTint="A6"/>
    </w:rPr>
  </w:style>
  <w:style w:type="character" w:customStyle="1" w:styleId="90">
    <w:name w:val="标题 9 字符"/>
    <w:basedOn w:val="a1"/>
    <w:link w:val="9"/>
    <w:uiPriority w:val="9"/>
    <w:semiHidden/>
    <w:rsid w:val="00171898"/>
    <w:rPr>
      <w:rFonts w:eastAsiaTheme="majorEastAsia" w:cstheme="majorBidi"/>
      <w:color w:val="595959" w:themeColor="text1" w:themeTint="A6"/>
    </w:rPr>
  </w:style>
  <w:style w:type="paragraph" w:styleId="a4">
    <w:name w:val="Title"/>
    <w:basedOn w:val="a"/>
    <w:next w:val="a"/>
    <w:link w:val="a5"/>
    <w:uiPriority w:val="10"/>
    <w:qFormat/>
    <w:rsid w:val="00171898"/>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171898"/>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71898"/>
    <w:pPr>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171898"/>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171898"/>
    <w:pPr>
      <w:spacing w:before="160" w:line="240" w:lineRule="auto"/>
      <w:jc w:val="center"/>
    </w:pPr>
    <w:rPr>
      <w:i/>
      <w:iCs/>
      <w:color w:val="404040" w:themeColor="text1" w:themeTint="BF"/>
      <w14:ligatures w14:val="standardContextual"/>
    </w:rPr>
  </w:style>
  <w:style w:type="character" w:customStyle="1" w:styleId="a9">
    <w:name w:val="引用 字符"/>
    <w:basedOn w:val="a1"/>
    <w:link w:val="a8"/>
    <w:uiPriority w:val="29"/>
    <w:rsid w:val="00171898"/>
    <w:rPr>
      <w:i/>
      <w:iCs/>
      <w:color w:val="404040" w:themeColor="text1" w:themeTint="BF"/>
    </w:rPr>
  </w:style>
  <w:style w:type="paragraph" w:styleId="aa">
    <w:name w:val="List Paragraph"/>
    <w:basedOn w:val="a"/>
    <w:uiPriority w:val="34"/>
    <w:qFormat/>
    <w:rsid w:val="00171898"/>
    <w:pPr>
      <w:spacing w:after="0" w:line="240" w:lineRule="auto"/>
      <w:ind w:left="720"/>
      <w:contextualSpacing/>
    </w:pPr>
    <w:rPr>
      <w14:ligatures w14:val="standardContextual"/>
    </w:rPr>
  </w:style>
  <w:style w:type="character" w:styleId="ab">
    <w:name w:val="Intense Emphasis"/>
    <w:basedOn w:val="a1"/>
    <w:uiPriority w:val="21"/>
    <w:qFormat/>
    <w:rsid w:val="00171898"/>
    <w:rPr>
      <w:i/>
      <w:iCs/>
      <w:color w:val="2F5496" w:themeColor="accent1" w:themeShade="BF"/>
    </w:rPr>
  </w:style>
  <w:style w:type="paragraph" w:styleId="ac">
    <w:name w:val="Intense Quote"/>
    <w:basedOn w:val="a"/>
    <w:next w:val="a"/>
    <w:link w:val="ad"/>
    <w:uiPriority w:val="30"/>
    <w:qFormat/>
    <w:rsid w:val="00171898"/>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14:ligatures w14:val="standardContextual"/>
    </w:rPr>
  </w:style>
  <w:style w:type="character" w:customStyle="1" w:styleId="ad">
    <w:name w:val="明显引用 字符"/>
    <w:basedOn w:val="a1"/>
    <w:link w:val="ac"/>
    <w:uiPriority w:val="30"/>
    <w:rsid w:val="00171898"/>
    <w:rPr>
      <w:i/>
      <w:iCs/>
      <w:color w:val="2F5496" w:themeColor="accent1" w:themeShade="BF"/>
    </w:rPr>
  </w:style>
  <w:style w:type="character" w:styleId="ae">
    <w:name w:val="Intense Reference"/>
    <w:basedOn w:val="a1"/>
    <w:uiPriority w:val="32"/>
    <w:qFormat/>
    <w:rsid w:val="00171898"/>
    <w:rPr>
      <w:b/>
      <w:bCs/>
      <w:smallCaps/>
      <w:color w:val="2F5496" w:themeColor="accent1" w:themeShade="BF"/>
      <w:spacing w:val="5"/>
    </w:rPr>
  </w:style>
  <w:style w:type="paragraph" w:styleId="a0">
    <w:name w:val="Body Text"/>
    <w:basedOn w:val="a"/>
    <w:next w:val="a"/>
    <w:link w:val="af"/>
    <w:uiPriority w:val="1"/>
    <w:qFormat/>
    <w:rsid w:val="00171898"/>
    <w:pPr>
      <w:ind w:left="557"/>
    </w:pPr>
    <w:rPr>
      <w:rFonts w:ascii="宋体" w:eastAsia="宋体" w:hAnsi="宋体" w:cs="宋体"/>
      <w:sz w:val="24"/>
      <w:szCs w:val="24"/>
      <w:lang w:val="zh-CN" w:bidi="zh-CN"/>
    </w:rPr>
  </w:style>
  <w:style w:type="character" w:customStyle="1" w:styleId="af">
    <w:name w:val="正文文本 字符"/>
    <w:basedOn w:val="a1"/>
    <w:link w:val="a0"/>
    <w:uiPriority w:val="1"/>
    <w:rsid w:val="00171898"/>
    <w:rPr>
      <w:rFonts w:ascii="宋体" w:eastAsia="宋体" w:hAnsi="宋体" w:cs="宋体"/>
      <w:sz w:val="24"/>
      <w:szCs w:val="24"/>
      <w:lang w:val="zh-CN" w:bidi="zh-CN"/>
      <w14:ligatures w14:val="none"/>
    </w:rPr>
  </w:style>
  <w:style w:type="paragraph" w:styleId="af0">
    <w:name w:val="footer"/>
    <w:basedOn w:val="a"/>
    <w:link w:val="af1"/>
    <w:uiPriority w:val="99"/>
    <w:unhideWhenUsed/>
    <w:qFormat/>
    <w:rsid w:val="00171898"/>
    <w:pPr>
      <w:tabs>
        <w:tab w:val="center" w:pos="4153"/>
        <w:tab w:val="right" w:pos="8306"/>
      </w:tabs>
      <w:snapToGrid w:val="0"/>
      <w:jc w:val="left"/>
    </w:pPr>
    <w:rPr>
      <w:sz w:val="18"/>
      <w:szCs w:val="18"/>
    </w:rPr>
  </w:style>
  <w:style w:type="character" w:customStyle="1" w:styleId="af1">
    <w:name w:val="页脚 字符"/>
    <w:basedOn w:val="a1"/>
    <w:link w:val="af0"/>
    <w:uiPriority w:val="99"/>
    <w:qFormat/>
    <w:rsid w:val="00171898"/>
    <w:rPr>
      <w:sz w:val="18"/>
      <w:szCs w:val="18"/>
      <w14:ligatures w14:val="none"/>
    </w:rPr>
  </w:style>
  <w:style w:type="character" w:styleId="af2">
    <w:name w:val="annotation reference"/>
    <w:basedOn w:val="a1"/>
    <w:qFormat/>
    <w:rsid w:val="0017189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995</Characters>
  <Application>Microsoft Office Word</Application>
  <DocSecurity>0</DocSecurity>
  <Lines>58</Lines>
  <Paragraphs>43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2026-07-29T03:01:00Z</dcterms:created>
  <dcterms:modified xsi:type="dcterms:W3CDTF">2026-07-29T03:01:00Z</dcterms:modified>
</cp:coreProperties>
</file>